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0A0BAA" w14:textId="77777777" w:rsidR="00D534AA" w:rsidRDefault="00D534AA">
      <w:pPr>
        <w:rPr>
          <w:b/>
          <w:bCs/>
          <w:sz w:val="24"/>
          <w:szCs w:val="24"/>
        </w:rPr>
      </w:pPr>
      <w:r w:rsidRPr="00F04FA5">
        <w:rPr>
          <w:rFonts w:ascii="Times New Roman" w:eastAsia="Calibri" w:hAnsi="Times New Roman" w:cs="Times New Roman"/>
          <w:b/>
          <w:color w:val="00B0F0"/>
          <w:sz w:val="32"/>
          <w:szCs w:val="32"/>
          <w:lang w:val="fr-CA"/>
        </w:rPr>
        <w:t xml:space="preserve">Unité </w:t>
      </w:r>
      <w:r>
        <w:rPr>
          <w:rFonts w:ascii="Times New Roman" w:eastAsia="Calibri" w:hAnsi="Times New Roman" w:cs="Times New Roman"/>
          <w:b/>
          <w:color w:val="00B0F0"/>
          <w:sz w:val="32"/>
          <w:szCs w:val="32"/>
          <w:lang w:val="fr-CA"/>
        </w:rPr>
        <w:t>32</w:t>
      </w:r>
      <w:r w:rsidRPr="00F04FA5">
        <w:rPr>
          <w:rFonts w:ascii="Times New Roman" w:eastAsia="Calibri" w:hAnsi="Times New Roman" w:cs="Times New Roman"/>
          <w:b/>
          <w:color w:val="00B0F0"/>
          <w:sz w:val="32"/>
          <w:szCs w:val="32"/>
          <w:lang w:val="fr-CA"/>
        </w:rPr>
        <w:t xml:space="preserve">. </w:t>
      </w:r>
      <w:r w:rsidR="00124683" w:rsidRPr="00D534AA">
        <w:rPr>
          <w:rFonts w:ascii="Times New Roman" w:eastAsia="Calibri" w:hAnsi="Times New Roman" w:cs="Times New Roman"/>
          <w:b/>
          <w:color w:val="00B0F0"/>
          <w:sz w:val="32"/>
          <w:szCs w:val="32"/>
          <w:lang w:val="fr-CA"/>
        </w:rPr>
        <w:t>Comprendre la circulation océanique</w:t>
      </w:r>
      <w:r w:rsidR="008C1D62">
        <w:rPr>
          <w:b/>
          <w:bCs/>
          <w:sz w:val="24"/>
          <w:szCs w:val="24"/>
        </w:rPr>
        <w:t xml:space="preserve"> </w:t>
      </w:r>
    </w:p>
    <w:p w14:paraId="39C56AF5" w14:textId="30554658" w:rsidR="0080060B" w:rsidRDefault="008C1D62">
      <w:r w:rsidRPr="00D534AA">
        <w:rPr>
          <w:b/>
        </w:rPr>
        <w:t>Durée totale</w:t>
      </w:r>
      <w:r>
        <w:t xml:space="preserve"> : </w:t>
      </w:r>
      <w:r w:rsidR="00B672FB">
        <w:t>2</w:t>
      </w:r>
      <w:r w:rsidR="00836456">
        <w:t>’</w:t>
      </w:r>
      <w:r w:rsidR="00072630">
        <w:t>50</w:t>
      </w:r>
      <w:r w:rsidR="00836456">
        <w:t>’’</w:t>
      </w:r>
    </w:p>
    <w:p w14:paraId="65A51709" w14:textId="2B3585B7" w:rsidR="0080060B" w:rsidRDefault="008C1D62">
      <w:r w:rsidRPr="00D534AA">
        <w:rPr>
          <w:b/>
        </w:rPr>
        <w:t>Titre </w:t>
      </w:r>
      <w:r w:rsidR="00D534AA" w:rsidRPr="00D534AA">
        <w:rPr>
          <w:b/>
        </w:rPr>
        <w:t>de l’expérience</w:t>
      </w:r>
      <w:r>
        <w:t xml:space="preserve"> : </w:t>
      </w:r>
      <w:r w:rsidR="00072630">
        <w:t>Comprendre la circulation océanique</w:t>
      </w:r>
    </w:p>
    <w:tbl>
      <w:tblPr>
        <w:tblW w:w="10172" w:type="dxa"/>
        <w:tblInd w:w="-108" w:type="dxa"/>
        <w:tblLayout w:type="fixed"/>
        <w:tblLook w:val="0000" w:firstRow="0" w:lastRow="0" w:firstColumn="0" w:lastColumn="0" w:noHBand="0" w:noVBand="0"/>
      </w:tblPr>
      <w:tblGrid>
        <w:gridCol w:w="5353"/>
        <w:gridCol w:w="4819"/>
      </w:tblGrid>
      <w:tr w:rsidR="0080060B" w14:paraId="2DE55F19" w14:textId="77777777" w:rsidTr="00794264">
        <w:trPr>
          <w:trHeight w:val="243"/>
        </w:trPr>
        <w:tc>
          <w:tcPr>
            <w:tcW w:w="5353" w:type="dxa"/>
            <w:shd w:val="clear" w:color="auto" w:fill="auto"/>
          </w:tcPr>
          <w:p w14:paraId="29D8E52D" w14:textId="3E798D74" w:rsidR="0080060B" w:rsidRDefault="0080060B"/>
        </w:tc>
        <w:tc>
          <w:tcPr>
            <w:tcW w:w="4819" w:type="dxa"/>
            <w:shd w:val="clear" w:color="auto" w:fill="auto"/>
          </w:tcPr>
          <w:p w14:paraId="10B94053" w14:textId="77777777" w:rsidR="0080060B" w:rsidRDefault="0080060B"/>
        </w:tc>
      </w:tr>
      <w:tr w:rsidR="0080060B" w14:paraId="3FD9DE8C" w14:textId="77777777" w:rsidTr="00794264">
        <w:trPr>
          <w:trHeight w:val="1587"/>
        </w:trPr>
        <w:tc>
          <w:tcPr>
            <w:tcW w:w="5353" w:type="dxa"/>
            <w:shd w:val="clear" w:color="auto" w:fill="F2F2F2" w:themeFill="background1" w:themeFillShade="F2"/>
          </w:tcPr>
          <w:p w14:paraId="537E00FC" w14:textId="77777777" w:rsidR="0080060B" w:rsidRPr="00C57257" w:rsidRDefault="008C1D62">
            <w:pPr>
              <w:rPr>
                <w:b/>
              </w:rPr>
            </w:pPr>
            <w:r w:rsidRPr="00C57257">
              <w:rPr>
                <w:b/>
              </w:rPr>
              <w:t xml:space="preserve">Titre : Matériel et solutions </w:t>
            </w:r>
          </w:p>
          <w:p w14:paraId="23F89CE7" w14:textId="030ED68B" w:rsidR="0080060B" w:rsidRDefault="008C1D62">
            <w:r>
              <w:t xml:space="preserve">- </w:t>
            </w:r>
            <w:r w:rsidR="00C57257">
              <w:t>U</w:t>
            </w:r>
            <w:r>
              <w:t xml:space="preserve">n </w:t>
            </w:r>
            <w:r w:rsidR="00072630">
              <w:t xml:space="preserve">dispositif de circulation commercialisé par </w:t>
            </w:r>
            <w:proofErr w:type="spellStart"/>
            <w:r w:rsidR="00072630">
              <w:t>Pierron</w:t>
            </w:r>
            <w:proofErr w:type="spellEnd"/>
            <w:r w:rsidR="00072630">
              <w:t xml:space="preserve"> ou </w:t>
            </w:r>
            <w:proofErr w:type="spellStart"/>
            <w:r w:rsidR="00072630">
              <w:t>Jeulin</w:t>
            </w:r>
            <w:proofErr w:type="spellEnd"/>
            <w:r w:rsidR="00072630">
              <w:t xml:space="preserve"> ou fabriqué au laboratoire de SVT.</w:t>
            </w:r>
          </w:p>
          <w:p w14:paraId="2F4EF640" w14:textId="7177F95F" w:rsidR="0080060B" w:rsidRDefault="008C1D62">
            <w:r>
              <w:t xml:space="preserve">- </w:t>
            </w:r>
            <w:r w:rsidR="00072630">
              <w:t>½ litre d’eau colorée en rouge et chauffée à 50°C</w:t>
            </w:r>
            <w:r>
              <w:t xml:space="preserve"> </w:t>
            </w:r>
          </w:p>
          <w:p w14:paraId="5B962E5D" w14:textId="75032B4A" w:rsidR="0080060B" w:rsidRDefault="008C1D62" w:rsidP="00072630">
            <w:r>
              <w:t xml:space="preserve">- </w:t>
            </w:r>
            <w:r w:rsidR="00072630">
              <w:t>½ litre d’eau colorée en bleu et refroidie à 4°C</w:t>
            </w:r>
          </w:p>
        </w:tc>
        <w:tc>
          <w:tcPr>
            <w:tcW w:w="4819" w:type="dxa"/>
            <w:shd w:val="clear" w:color="auto" w:fill="F2F2F2" w:themeFill="background1" w:themeFillShade="F2"/>
          </w:tcPr>
          <w:p w14:paraId="1574E09F" w14:textId="24FFC2ED" w:rsidR="0080060B" w:rsidRDefault="00450371" w:rsidP="00433C29">
            <w:pPr>
              <w:jc w:val="center"/>
            </w:pPr>
            <w:r>
              <w:rPr>
                <w:noProof/>
                <w:lang w:eastAsia="fr-FR"/>
              </w:rPr>
              <w:drawing>
                <wp:inline distT="0" distB="0" distL="0" distR="0" wp14:anchorId="59DCB56B" wp14:editId="4975D6D9">
                  <wp:extent cx="2024208" cy="2681494"/>
                  <wp:effectExtent l="0" t="0" r="0" b="508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24948" cy="2682475"/>
                          </a:xfrm>
                          <a:prstGeom prst="rect">
                            <a:avLst/>
                          </a:prstGeom>
                        </pic:spPr>
                      </pic:pic>
                    </a:graphicData>
                  </a:graphic>
                </wp:inline>
              </w:drawing>
            </w:r>
            <w:bookmarkStart w:id="0" w:name="_GoBack"/>
            <w:bookmarkEnd w:id="0"/>
          </w:p>
        </w:tc>
      </w:tr>
      <w:tr w:rsidR="00C57257" w14:paraId="3F6E117C" w14:textId="77777777" w:rsidTr="00794264">
        <w:trPr>
          <w:trHeight w:val="155"/>
        </w:trPr>
        <w:tc>
          <w:tcPr>
            <w:tcW w:w="5353" w:type="dxa"/>
            <w:shd w:val="clear" w:color="auto" w:fill="auto"/>
          </w:tcPr>
          <w:p w14:paraId="450AAB64" w14:textId="77777777" w:rsidR="00C57257" w:rsidRDefault="00C57257"/>
        </w:tc>
        <w:tc>
          <w:tcPr>
            <w:tcW w:w="4819" w:type="dxa"/>
            <w:shd w:val="clear" w:color="auto" w:fill="auto"/>
          </w:tcPr>
          <w:p w14:paraId="455DED86" w14:textId="77777777" w:rsidR="00C57257" w:rsidRDefault="00C57257" w:rsidP="00836456">
            <w:pPr>
              <w:jc w:val="center"/>
              <w:rPr>
                <w:b/>
                <w:bCs/>
              </w:rPr>
            </w:pPr>
          </w:p>
        </w:tc>
      </w:tr>
      <w:tr w:rsidR="00836456" w14:paraId="5D0A9FE8" w14:textId="77777777" w:rsidTr="00794264">
        <w:trPr>
          <w:trHeight w:val="1587"/>
        </w:trPr>
        <w:tc>
          <w:tcPr>
            <w:tcW w:w="5353" w:type="dxa"/>
            <w:shd w:val="clear" w:color="auto" w:fill="F2F2F2" w:themeFill="background1" w:themeFillShade="F2"/>
          </w:tcPr>
          <w:p w14:paraId="760847E0" w14:textId="77777777" w:rsidR="00C57257" w:rsidRDefault="00C57257"/>
          <w:p w14:paraId="5F66547F" w14:textId="6B494C7D" w:rsidR="00836456" w:rsidRPr="00C57257" w:rsidRDefault="00836456">
            <w:pPr>
              <w:rPr>
                <w:b/>
              </w:rPr>
            </w:pPr>
            <w:r w:rsidRPr="00C57257">
              <w:rPr>
                <w:b/>
              </w:rPr>
              <w:t xml:space="preserve">Titre : </w:t>
            </w:r>
            <w:r w:rsidR="00072630" w:rsidRPr="00C57257">
              <w:rPr>
                <w:b/>
              </w:rPr>
              <w:t>Remplissage simultané des colonnes</w:t>
            </w:r>
          </w:p>
          <w:p w14:paraId="7B307457" w14:textId="644D465A" w:rsidR="00836456" w:rsidRDefault="00072630">
            <w:r>
              <w:t xml:space="preserve">Des bulles d’air s’immiscent souvent dans </w:t>
            </w:r>
            <w:r w:rsidR="005503AA">
              <w:t>le</w:t>
            </w:r>
            <w:r>
              <w:t xml:space="preserve">s tubes qui relient les colonnes et empêchent la progression de l’eau colorée. Ne pas hésiter à pencher rapidement le dispositif à droite et à gauche pour chasser l’air. </w:t>
            </w:r>
          </w:p>
        </w:tc>
        <w:tc>
          <w:tcPr>
            <w:tcW w:w="4819" w:type="dxa"/>
            <w:shd w:val="clear" w:color="auto" w:fill="F2F2F2" w:themeFill="background1" w:themeFillShade="F2"/>
          </w:tcPr>
          <w:p w14:paraId="0CEC371A" w14:textId="48F53A9A" w:rsidR="00450371" w:rsidRPr="00836456" w:rsidRDefault="00450371" w:rsidP="00836456">
            <w:pPr>
              <w:jc w:val="center"/>
              <w:rPr>
                <w:b/>
                <w:bCs/>
              </w:rPr>
            </w:pPr>
            <w:r>
              <w:rPr>
                <w:noProof/>
                <w:lang w:eastAsia="fr-FR"/>
              </w:rPr>
              <w:drawing>
                <wp:inline distT="0" distB="0" distL="0" distR="0" wp14:anchorId="02D604F5" wp14:editId="269BC440">
                  <wp:extent cx="1599093" cy="1940118"/>
                  <wp:effectExtent l="0" t="0" r="1270" b="317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t="13459" b="17582"/>
                          <a:stretch/>
                        </pic:blipFill>
                        <pic:spPr bwMode="auto">
                          <a:xfrm>
                            <a:off x="0" y="0"/>
                            <a:ext cx="1604136" cy="1946236"/>
                          </a:xfrm>
                          <a:prstGeom prst="rect">
                            <a:avLst/>
                          </a:prstGeom>
                          <a:ln>
                            <a:noFill/>
                          </a:ln>
                          <a:extLst>
                            <a:ext uri="{53640926-AAD7-44D8-BBD7-CCE9431645EC}">
                              <a14:shadowObscured xmlns:a14="http://schemas.microsoft.com/office/drawing/2010/main"/>
                            </a:ext>
                          </a:extLst>
                        </pic:spPr>
                      </pic:pic>
                    </a:graphicData>
                  </a:graphic>
                </wp:inline>
              </w:drawing>
            </w:r>
          </w:p>
        </w:tc>
      </w:tr>
      <w:tr w:rsidR="00C57257" w14:paraId="3EAC5166" w14:textId="77777777" w:rsidTr="00794264">
        <w:trPr>
          <w:trHeight w:val="435"/>
        </w:trPr>
        <w:tc>
          <w:tcPr>
            <w:tcW w:w="5353" w:type="dxa"/>
            <w:shd w:val="clear" w:color="auto" w:fill="auto"/>
          </w:tcPr>
          <w:p w14:paraId="296DF182" w14:textId="77777777" w:rsidR="00C57257" w:rsidRDefault="00C57257"/>
        </w:tc>
        <w:tc>
          <w:tcPr>
            <w:tcW w:w="4819" w:type="dxa"/>
            <w:shd w:val="clear" w:color="auto" w:fill="auto"/>
          </w:tcPr>
          <w:p w14:paraId="79D6C0B8" w14:textId="77777777" w:rsidR="00C57257" w:rsidRDefault="00C57257" w:rsidP="00836456">
            <w:pPr>
              <w:jc w:val="center"/>
              <w:rPr>
                <w:b/>
                <w:bCs/>
              </w:rPr>
            </w:pPr>
          </w:p>
        </w:tc>
      </w:tr>
      <w:tr w:rsidR="00836456" w14:paraId="0775B526" w14:textId="77777777" w:rsidTr="00794264">
        <w:trPr>
          <w:trHeight w:val="80"/>
        </w:trPr>
        <w:tc>
          <w:tcPr>
            <w:tcW w:w="5353" w:type="dxa"/>
            <w:shd w:val="clear" w:color="auto" w:fill="F2F2F2" w:themeFill="background1" w:themeFillShade="F2"/>
          </w:tcPr>
          <w:p w14:paraId="243B6FD6" w14:textId="5F54F964" w:rsidR="0080060B" w:rsidRPr="00794264" w:rsidRDefault="008C1D62">
            <w:pPr>
              <w:rPr>
                <w:b/>
              </w:rPr>
            </w:pPr>
            <w:r w:rsidRPr="00794264">
              <w:rPr>
                <w:b/>
              </w:rPr>
              <w:t xml:space="preserve">Titre : </w:t>
            </w:r>
            <w:r w:rsidR="00072630" w:rsidRPr="00794264">
              <w:rPr>
                <w:b/>
              </w:rPr>
              <w:t xml:space="preserve">Mise en </w:t>
            </w:r>
            <w:r w:rsidR="005503AA" w:rsidRPr="00794264">
              <w:rPr>
                <w:b/>
              </w:rPr>
              <w:t>mouvement de l’eau</w:t>
            </w:r>
          </w:p>
          <w:p w14:paraId="2A820BB2" w14:textId="13D9756D" w:rsidR="0080060B" w:rsidRDefault="005503AA" w:rsidP="00794264">
            <w:pPr>
              <w:ind w:right="-110"/>
            </w:pPr>
            <w:r>
              <w:t>L’eau chaude a une densité moindre que l’eau froide (</w:t>
            </w:r>
            <w:r w:rsidRPr="005503AA">
              <w:t>0,98803</w:t>
            </w:r>
            <w:r>
              <w:t xml:space="preserve"> contre </w:t>
            </w:r>
            <w:r w:rsidRPr="005503AA">
              <w:t>0,999973</w:t>
            </w:r>
            <w:r>
              <w:t>). La différence est faible mais elle suffit pour provoquer les mouvements visibles.</w:t>
            </w:r>
          </w:p>
          <w:p w14:paraId="187A9983" w14:textId="45ACCF33" w:rsidR="005503AA" w:rsidRDefault="005503AA" w:rsidP="00794264">
            <w:pPr>
              <w:ind w:right="-110"/>
            </w:pPr>
            <w:r>
              <w:t>La colonne d’eau froide plus dense exerce une pression supérieure à la colonne d’eau chaude (à volume égal dans les deux colonnes). Ainsi, l’eau froide pousse l’eau chaude dans le tube du bas et un mouvement d’eau froide (bleue) est réalisé vers la colonne contenant l’eau chaude (rouge).</w:t>
            </w:r>
          </w:p>
          <w:p w14:paraId="1195A023" w14:textId="42CC28B9" w:rsidR="005503AA" w:rsidRDefault="005503AA" w:rsidP="00794264">
            <w:pPr>
              <w:ind w:right="-110"/>
            </w:pPr>
            <w:r>
              <w:t xml:space="preserve">Simultanément, ce déplacement d’un volume d’eau froide sortant d’une colonne et entrant dans l’autre entraîne un déplacement de l’eau chaude (colorée en rouge).  </w:t>
            </w:r>
          </w:p>
          <w:p w14:paraId="5A078354" w14:textId="77777777" w:rsidR="0080060B" w:rsidRDefault="0080060B"/>
        </w:tc>
        <w:tc>
          <w:tcPr>
            <w:tcW w:w="4819" w:type="dxa"/>
            <w:shd w:val="clear" w:color="auto" w:fill="F2F2F2" w:themeFill="background1" w:themeFillShade="F2"/>
          </w:tcPr>
          <w:p w14:paraId="7BF3E3CD" w14:textId="77777777" w:rsidR="00794264" w:rsidRDefault="00794264" w:rsidP="00794264">
            <w:pPr>
              <w:jc w:val="center"/>
            </w:pPr>
          </w:p>
          <w:p w14:paraId="6F96CE50" w14:textId="64D2898D" w:rsidR="0080060B" w:rsidRDefault="00450371" w:rsidP="00794264">
            <w:pPr>
              <w:jc w:val="center"/>
            </w:pPr>
            <w:r>
              <w:rPr>
                <w:noProof/>
                <w:lang w:eastAsia="fr-FR"/>
              </w:rPr>
              <w:drawing>
                <wp:inline distT="0" distB="0" distL="0" distR="0" wp14:anchorId="3355F098" wp14:editId="31D8CA38">
                  <wp:extent cx="1481006" cy="1951978"/>
                  <wp:effectExtent l="0" t="0" r="508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91175" cy="1965380"/>
                          </a:xfrm>
                          <a:prstGeom prst="rect">
                            <a:avLst/>
                          </a:prstGeom>
                        </pic:spPr>
                      </pic:pic>
                    </a:graphicData>
                  </a:graphic>
                </wp:inline>
              </w:drawing>
            </w:r>
          </w:p>
        </w:tc>
      </w:tr>
      <w:tr w:rsidR="00836456" w14:paraId="0466D898" w14:textId="77777777" w:rsidTr="00794264">
        <w:trPr>
          <w:trHeight w:val="1587"/>
        </w:trPr>
        <w:tc>
          <w:tcPr>
            <w:tcW w:w="5353" w:type="dxa"/>
            <w:shd w:val="clear" w:color="auto" w:fill="F2F2F2" w:themeFill="background1" w:themeFillShade="F2"/>
          </w:tcPr>
          <w:p w14:paraId="59802DC9" w14:textId="04AD050B" w:rsidR="00836456" w:rsidRPr="00794264" w:rsidRDefault="008C1D62" w:rsidP="00836456">
            <w:pPr>
              <w:rPr>
                <w:b/>
              </w:rPr>
            </w:pPr>
            <w:r w:rsidRPr="00794264">
              <w:rPr>
                <w:b/>
              </w:rPr>
              <w:t xml:space="preserve">Titre : </w:t>
            </w:r>
            <w:r w:rsidR="00737DDD" w:rsidRPr="00794264">
              <w:rPr>
                <w:b/>
              </w:rPr>
              <w:t>Résultat</w:t>
            </w:r>
          </w:p>
          <w:p w14:paraId="1BD24D33" w14:textId="77777777" w:rsidR="009207E3" w:rsidRPr="009207E3" w:rsidRDefault="009207E3" w:rsidP="00737DDD">
            <w:pPr>
              <w:rPr>
                <w:b/>
                <w:bCs/>
              </w:rPr>
            </w:pPr>
            <w:r w:rsidRPr="009207E3">
              <w:rPr>
                <w:b/>
                <w:bCs/>
              </w:rPr>
              <w:t xml:space="preserve">Dans le modèle : </w:t>
            </w:r>
          </w:p>
          <w:p w14:paraId="4B6D3D30" w14:textId="5A0C1018" w:rsidR="00737DDD" w:rsidRDefault="00737DDD" w:rsidP="00737DDD">
            <w:r>
              <w:t>L’eau froide colorée en bleu accède à l’autre colonne en passant par le tube du bas alors que l’eau chaude colorée en rouge passe par le tube du bas. Le modèle indique donc que l’eau froide circule de manière profonde alors que l’eau chaude circule de manière superficielle.</w:t>
            </w:r>
          </w:p>
          <w:p w14:paraId="12E0A0B7" w14:textId="07CE1EA1" w:rsidR="009207E3" w:rsidRPr="009207E3" w:rsidRDefault="009207E3" w:rsidP="009207E3">
            <w:pPr>
              <w:rPr>
                <w:b/>
                <w:bCs/>
              </w:rPr>
            </w:pPr>
            <w:r w:rsidRPr="009207E3">
              <w:rPr>
                <w:b/>
                <w:bCs/>
              </w:rPr>
              <w:t>Dan</w:t>
            </w:r>
            <w:r>
              <w:rPr>
                <w:b/>
                <w:bCs/>
              </w:rPr>
              <w:t>s</w:t>
            </w:r>
            <w:r w:rsidRPr="009207E3">
              <w:rPr>
                <w:b/>
                <w:bCs/>
              </w:rPr>
              <w:t xml:space="preserve"> la réalité :</w:t>
            </w:r>
          </w:p>
          <w:p w14:paraId="059F64AB" w14:textId="3788B6FC" w:rsidR="009207E3" w:rsidRPr="009207E3" w:rsidRDefault="00450371" w:rsidP="009207E3">
            <w:r w:rsidRPr="00450371">
              <w:t>La formation d'eau profonde en Atlantique Nord se produit de manière irrégulière et très localisée, essentiellement en mer de Norvège, et dans une moindre mesure en mer du Labrador et en mer du Groenland.</w:t>
            </w:r>
            <w:r>
              <w:t xml:space="preserve"> Ce refroidissement affecte</w:t>
            </w:r>
            <w:r w:rsidRPr="00450371">
              <w:t xml:space="preserve"> des eaux très salées, remontées par le </w:t>
            </w:r>
            <w:r w:rsidRPr="00450371">
              <w:rPr>
                <w:i/>
                <w:iCs/>
              </w:rPr>
              <w:t>Gulf Stream</w:t>
            </w:r>
            <w:r w:rsidRPr="00450371">
              <w:t xml:space="preserve">, depuis la mer des Caraïbes. Ces eaux étant déjà très denses, à cause de leur salinité élevée (35,25‰), le refroidissement augmente encore la densité, ce qui est suffisant pour les faire plonger. </w:t>
            </w:r>
            <w:r w:rsidR="009207E3" w:rsidRPr="009207E3">
              <w:t xml:space="preserve">Ce phénomène génère le </w:t>
            </w:r>
            <w:proofErr w:type="spellStart"/>
            <w:r w:rsidR="009207E3" w:rsidRPr="009207E3">
              <w:t>North</w:t>
            </w:r>
            <w:proofErr w:type="spellEnd"/>
            <w:r w:rsidR="009207E3" w:rsidRPr="009207E3">
              <w:t xml:space="preserve"> Atlantic </w:t>
            </w:r>
            <w:proofErr w:type="spellStart"/>
            <w:r w:rsidR="009207E3" w:rsidRPr="009207E3">
              <w:t>Deep</w:t>
            </w:r>
            <w:proofErr w:type="spellEnd"/>
            <w:r w:rsidR="009207E3" w:rsidRPr="009207E3">
              <w:t xml:space="preserve"> Water, ou Eau Atlantique Profonde (NADW).</w:t>
            </w:r>
            <w:r w:rsidR="009207E3">
              <w:t xml:space="preserve"> </w:t>
            </w:r>
            <w:r w:rsidR="009207E3" w:rsidRPr="009207E3">
              <w:t>Le NADW forme une langue d'eau, caractérisée par une forte salinité, entre 2.000 et 3.500 mètres de profondeur, dans tout l'océan Atlantique.</w:t>
            </w:r>
          </w:p>
          <w:p w14:paraId="1A03F44F" w14:textId="43FBC290" w:rsidR="0080060B" w:rsidRDefault="009207E3" w:rsidP="00737DDD">
            <w:r w:rsidRPr="009207E3">
              <w:t>Le Gulf Stream (« courant du golfe » en anglais) est un courant océanique superficiel qui prend sa source entre la Floride et les Bahamas. Il est constitué de la fusion du courant de Cuba et du courant nord équatorial. Sa température est comprise entre 24 °C et 28 °C. Au large de la Floride, le Gulf Stream est un véritable fleuve, de 30 à 150 km de large et de 300 à 1 200 m de profondeur.</w:t>
            </w:r>
          </w:p>
        </w:tc>
        <w:tc>
          <w:tcPr>
            <w:tcW w:w="4819" w:type="dxa"/>
            <w:shd w:val="clear" w:color="auto" w:fill="F2F2F2" w:themeFill="background1" w:themeFillShade="F2"/>
          </w:tcPr>
          <w:p w14:paraId="59381E84" w14:textId="77777777" w:rsidR="00794264" w:rsidRDefault="00794264">
            <w:pPr>
              <w:jc w:val="center"/>
            </w:pPr>
          </w:p>
          <w:p w14:paraId="2C467B3A" w14:textId="77777777" w:rsidR="00794264" w:rsidRDefault="00794264">
            <w:pPr>
              <w:jc w:val="center"/>
            </w:pPr>
          </w:p>
          <w:p w14:paraId="31F66865" w14:textId="77777777" w:rsidR="00794264" w:rsidRDefault="00794264">
            <w:pPr>
              <w:jc w:val="center"/>
            </w:pPr>
          </w:p>
          <w:p w14:paraId="7EDD21CE" w14:textId="6502A810" w:rsidR="0080060B" w:rsidRDefault="00450371">
            <w:pPr>
              <w:jc w:val="center"/>
            </w:pPr>
            <w:r>
              <w:rPr>
                <w:noProof/>
                <w:lang w:eastAsia="fr-FR"/>
              </w:rPr>
              <w:drawing>
                <wp:inline distT="0" distB="0" distL="0" distR="0" wp14:anchorId="568242C1" wp14:editId="79C52B42">
                  <wp:extent cx="2745740" cy="2701965"/>
                  <wp:effectExtent l="2857" t="0" r="318" b="317"/>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rotWithShape="1">
                          <a:blip r:embed="rId9" cstate="print">
                            <a:extLst>
                              <a:ext uri="{28A0092B-C50C-407E-A947-70E740481C1C}">
                                <a14:useLocalDpi xmlns:a14="http://schemas.microsoft.com/office/drawing/2010/main" val="0"/>
                              </a:ext>
                            </a:extLst>
                          </a:blip>
                          <a:srcRect r="34441" b="13981"/>
                          <a:stretch/>
                        </pic:blipFill>
                        <pic:spPr bwMode="auto">
                          <a:xfrm rot="5400000">
                            <a:off x="0" y="0"/>
                            <a:ext cx="2750472" cy="2706621"/>
                          </a:xfrm>
                          <a:prstGeom prst="rect">
                            <a:avLst/>
                          </a:prstGeom>
                          <a:ln>
                            <a:noFill/>
                          </a:ln>
                          <a:extLst>
                            <a:ext uri="{53640926-AAD7-44D8-BBD7-CCE9431645EC}">
                              <a14:shadowObscured xmlns:a14="http://schemas.microsoft.com/office/drawing/2010/main"/>
                            </a:ext>
                          </a:extLst>
                        </pic:spPr>
                      </pic:pic>
                    </a:graphicData>
                  </a:graphic>
                </wp:inline>
              </w:drawing>
            </w:r>
          </w:p>
        </w:tc>
      </w:tr>
    </w:tbl>
    <w:p w14:paraId="430F5CF2" w14:textId="77777777" w:rsidR="0080060B" w:rsidRDefault="0080060B"/>
    <w:sectPr w:rsidR="0080060B" w:rsidSect="00794264">
      <w:footerReference w:type="default" r:id="rId10"/>
      <w:pgSz w:w="11906" w:h="16838"/>
      <w:pgMar w:top="1417" w:right="1417" w:bottom="142" w:left="1417" w:header="0" w:footer="0" w:gutter="0"/>
      <w:cols w:space="720"/>
      <w:formProt w:val="0"/>
      <w:docGrid w:linePitch="360" w:charSpace="409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4373C5" w16cex:dateUtc="2021-05-10T06: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13D8F7A" w16cid:durableId="244373C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565137" w14:textId="77777777" w:rsidR="00CF5CBA" w:rsidRDefault="00CF5CBA" w:rsidP="00433C29">
      <w:pPr>
        <w:spacing w:after="0" w:line="240" w:lineRule="auto"/>
      </w:pPr>
      <w:r>
        <w:separator/>
      </w:r>
    </w:p>
  </w:endnote>
  <w:endnote w:type="continuationSeparator" w:id="0">
    <w:p w14:paraId="1A0C696B" w14:textId="77777777" w:rsidR="00CF5CBA" w:rsidRDefault="00CF5CBA" w:rsidP="00433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2"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415F5" w14:textId="05C300BB" w:rsidR="00433C29" w:rsidRPr="00B461B2" w:rsidRDefault="00433C29" w:rsidP="00433C29">
    <w:pPr>
      <w:pStyle w:val="Pieddepage"/>
    </w:pPr>
    <w:r>
      <w:t>Mon cahier de SVT 5</w:t>
    </w:r>
    <w:r w:rsidRPr="0023257D">
      <w:rPr>
        <w:vertAlign w:val="superscript"/>
      </w:rPr>
      <w:t>e</w:t>
    </w:r>
    <w:r>
      <w:t xml:space="preserve"> © Nathan 2021</w:t>
    </w:r>
  </w:p>
  <w:p w14:paraId="0D5483C5" w14:textId="11124A8F" w:rsidR="00433C29" w:rsidRDefault="00433C29">
    <w:pPr>
      <w:pStyle w:val="Pieddepage"/>
    </w:pPr>
  </w:p>
  <w:p w14:paraId="12D23628" w14:textId="77777777" w:rsidR="00433C29" w:rsidRDefault="00433C2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ECC182" w14:textId="77777777" w:rsidR="00CF5CBA" w:rsidRDefault="00CF5CBA" w:rsidP="00433C29">
      <w:pPr>
        <w:spacing w:after="0" w:line="240" w:lineRule="auto"/>
      </w:pPr>
      <w:r>
        <w:separator/>
      </w:r>
    </w:p>
  </w:footnote>
  <w:footnote w:type="continuationSeparator" w:id="0">
    <w:p w14:paraId="1901E19A" w14:textId="77777777" w:rsidR="00CF5CBA" w:rsidRDefault="00CF5CBA" w:rsidP="00433C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60B"/>
    <w:rsid w:val="00072630"/>
    <w:rsid w:val="00124683"/>
    <w:rsid w:val="00433C29"/>
    <w:rsid w:val="00450371"/>
    <w:rsid w:val="00492925"/>
    <w:rsid w:val="005503AA"/>
    <w:rsid w:val="00737DDD"/>
    <w:rsid w:val="00794264"/>
    <w:rsid w:val="0080060B"/>
    <w:rsid w:val="00836456"/>
    <w:rsid w:val="008C1D62"/>
    <w:rsid w:val="009207E3"/>
    <w:rsid w:val="00B672FB"/>
    <w:rsid w:val="00C23EF0"/>
    <w:rsid w:val="00C57257"/>
    <w:rsid w:val="00CE70ED"/>
    <w:rsid w:val="00CF5CBA"/>
    <w:rsid w:val="00D534AA"/>
    <w:rsid w:val="00DC44E2"/>
    <w:rsid w:val="00E00138"/>
    <w:rsid w:val="00F61154"/>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F2DD8"/>
  <w15:docId w15:val="{DBA032F3-C8A8-4967-B43D-24C6A83A1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6EC6"/>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Corpsdetexte"/>
    <w:qFormat/>
    <w:pPr>
      <w:keepNext/>
      <w:spacing w:before="240" w:after="120"/>
    </w:pPr>
    <w:rPr>
      <w:rFonts w:ascii="Liberation Sans" w:eastAsia="Microsoft YaHei" w:hAnsi="Liberation Sans" w:cs="Mangal"/>
      <w:sz w:val="28"/>
      <w:szCs w:val="28"/>
    </w:rPr>
  </w:style>
  <w:style w:type="paragraph" w:styleId="Corpsdetexte">
    <w:name w:val="Body Text"/>
    <w:basedOn w:val="Normal"/>
    <w:pPr>
      <w:spacing w:after="140" w:line="276" w:lineRule="auto"/>
    </w:pPr>
  </w:style>
  <w:style w:type="paragraph" w:styleId="Liste">
    <w:name w:val="List"/>
    <w:basedOn w:val="Corpsdetexte"/>
    <w:rPr>
      <w:rFonts w:cs="Mangal"/>
    </w:rPr>
  </w:style>
  <w:style w:type="paragraph" w:styleId="Lgende">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character" w:styleId="Marquedecommentaire">
    <w:name w:val="annotation reference"/>
    <w:basedOn w:val="Policepardfaut"/>
    <w:uiPriority w:val="99"/>
    <w:semiHidden/>
    <w:unhideWhenUsed/>
    <w:rsid w:val="00072630"/>
    <w:rPr>
      <w:sz w:val="16"/>
      <w:szCs w:val="16"/>
    </w:rPr>
  </w:style>
  <w:style w:type="paragraph" w:styleId="Commentaire">
    <w:name w:val="annotation text"/>
    <w:basedOn w:val="Normal"/>
    <w:link w:val="CommentaireCar"/>
    <w:uiPriority w:val="99"/>
    <w:semiHidden/>
    <w:unhideWhenUsed/>
    <w:rsid w:val="00072630"/>
    <w:pPr>
      <w:spacing w:line="240" w:lineRule="auto"/>
    </w:pPr>
    <w:rPr>
      <w:sz w:val="20"/>
      <w:szCs w:val="20"/>
    </w:rPr>
  </w:style>
  <w:style w:type="character" w:customStyle="1" w:styleId="CommentaireCar">
    <w:name w:val="Commentaire Car"/>
    <w:basedOn w:val="Policepardfaut"/>
    <w:link w:val="Commentaire"/>
    <w:uiPriority w:val="99"/>
    <w:semiHidden/>
    <w:rsid w:val="00072630"/>
    <w:rPr>
      <w:sz w:val="20"/>
      <w:szCs w:val="20"/>
    </w:rPr>
  </w:style>
  <w:style w:type="paragraph" w:styleId="Objetducommentaire">
    <w:name w:val="annotation subject"/>
    <w:basedOn w:val="Commentaire"/>
    <w:next w:val="Commentaire"/>
    <w:link w:val="ObjetducommentaireCar"/>
    <w:uiPriority w:val="99"/>
    <w:semiHidden/>
    <w:unhideWhenUsed/>
    <w:rsid w:val="00072630"/>
    <w:rPr>
      <w:b/>
      <w:bCs/>
    </w:rPr>
  </w:style>
  <w:style w:type="character" w:customStyle="1" w:styleId="ObjetducommentaireCar">
    <w:name w:val="Objet du commentaire Car"/>
    <w:basedOn w:val="CommentaireCar"/>
    <w:link w:val="Objetducommentaire"/>
    <w:uiPriority w:val="99"/>
    <w:semiHidden/>
    <w:rsid w:val="00072630"/>
    <w:rPr>
      <w:b/>
      <w:bCs/>
      <w:sz w:val="20"/>
      <w:szCs w:val="20"/>
    </w:rPr>
  </w:style>
  <w:style w:type="paragraph" w:styleId="NormalWeb">
    <w:name w:val="Normal (Web)"/>
    <w:basedOn w:val="Normal"/>
    <w:uiPriority w:val="99"/>
    <w:semiHidden/>
    <w:unhideWhenUsed/>
    <w:rsid w:val="00450371"/>
    <w:rPr>
      <w:rFonts w:ascii="Times New Roman" w:hAnsi="Times New Roman" w:cs="Times New Roman"/>
      <w:sz w:val="24"/>
      <w:szCs w:val="24"/>
    </w:rPr>
  </w:style>
  <w:style w:type="character" w:styleId="Lienhypertexte">
    <w:name w:val="Hyperlink"/>
    <w:basedOn w:val="Policepardfaut"/>
    <w:uiPriority w:val="99"/>
    <w:unhideWhenUsed/>
    <w:rsid w:val="009207E3"/>
    <w:rPr>
      <w:color w:val="0563C1" w:themeColor="hyperlink"/>
      <w:u w:val="single"/>
    </w:rPr>
  </w:style>
  <w:style w:type="character" w:customStyle="1" w:styleId="UnresolvedMention">
    <w:name w:val="Unresolved Mention"/>
    <w:basedOn w:val="Policepardfaut"/>
    <w:uiPriority w:val="99"/>
    <w:semiHidden/>
    <w:unhideWhenUsed/>
    <w:rsid w:val="009207E3"/>
    <w:rPr>
      <w:color w:val="605E5C"/>
      <w:shd w:val="clear" w:color="auto" w:fill="E1DFDD"/>
    </w:rPr>
  </w:style>
  <w:style w:type="paragraph" w:styleId="Textedebulles">
    <w:name w:val="Balloon Text"/>
    <w:basedOn w:val="Normal"/>
    <w:link w:val="TextedebullesCar"/>
    <w:uiPriority w:val="99"/>
    <w:semiHidden/>
    <w:unhideWhenUsed/>
    <w:rsid w:val="00F6115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61154"/>
    <w:rPr>
      <w:rFonts w:ascii="Segoe UI" w:hAnsi="Segoe UI" w:cs="Segoe UI"/>
      <w:sz w:val="18"/>
      <w:szCs w:val="18"/>
    </w:rPr>
  </w:style>
  <w:style w:type="paragraph" w:styleId="En-tte">
    <w:name w:val="header"/>
    <w:basedOn w:val="Normal"/>
    <w:link w:val="En-tteCar"/>
    <w:uiPriority w:val="99"/>
    <w:unhideWhenUsed/>
    <w:rsid w:val="00433C29"/>
    <w:pPr>
      <w:tabs>
        <w:tab w:val="center" w:pos="4536"/>
        <w:tab w:val="right" w:pos="9072"/>
      </w:tabs>
      <w:spacing w:after="0" w:line="240" w:lineRule="auto"/>
    </w:pPr>
  </w:style>
  <w:style w:type="character" w:customStyle="1" w:styleId="En-tteCar">
    <w:name w:val="En-tête Car"/>
    <w:basedOn w:val="Policepardfaut"/>
    <w:link w:val="En-tte"/>
    <w:uiPriority w:val="99"/>
    <w:rsid w:val="00433C29"/>
  </w:style>
  <w:style w:type="paragraph" w:styleId="Pieddepage">
    <w:name w:val="footer"/>
    <w:basedOn w:val="Normal"/>
    <w:link w:val="PieddepageCar"/>
    <w:uiPriority w:val="99"/>
    <w:unhideWhenUsed/>
    <w:rsid w:val="00433C2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33C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65363">
      <w:bodyDiv w:val="1"/>
      <w:marLeft w:val="0"/>
      <w:marRight w:val="0"/>
      <w:marTop w:val="0"/>
      <w:marBottom w:val="0"/>
      <w:divBdr>
        <w:top w:val="none" w:sz="0" w:space="0" w:color="auto"/>
        <w:left w:val="none" w:sz="0" w:space="0" w:color="auto"/>
        <w:bottom w:val="none" w:sz="0" w:space="0" w:color="auto"/>
        <w:right w:val="none" w:sz="0" w:space="0" w:color="auto"/>
      </w:divBdr>
    </w:div>
    <w:div w:id="149710929">
      <w:bodyDiv w:val="1"/>
      <w:marLeft w:val="0"/>
      <w:marRight w:val="0"/>
      <w:marTop w:val="0"/>
      <w:marBottom w:val="0"/>
      <w:divBdr>
        <w:top w:val="none" w:sz="0" w:space="0" w:color="auto"/>
        <w:left w:val="none" w:sz="0" w:space="0" w:color="auto"/>
        <w:bottom w:val="none" w:sz="0" w:space="0" w:color="auto"/>
        <w:right w:val="none" w:sz="0" w:space="0" w:color="auto"/>
      </w:divBdr>
    </w:div>
    <w:div w:id="17133080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microsoft.com/office/2018/08/relationships/commentsExtensible" Target="commentsExtensi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jpeg"/><Relationship Id="rId14" Type="http://schemas.microsoft.com/office/2016/09/relationships/commentsIds" Target="commentsId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419</Words>
  <Characters>2307</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lafond</dc:creator>
  <dc:description/>
  <cp:lastModifiedBy>Edenhoffer.Caroline</cp:lastModifiedBy>
  <cp:revision>6</cp:revision>
  <dcterms:created xsi:type="dcterms:W3CDTF">2021-06-28T15:01:00Z</dcterms:created>
  <dcterms:modified xsi:type="dcterms:W3CDTF">2021-06-28T15:11:00Z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